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8D" w:rsidRDefault="00AC178D" w:rsidP="00AC178D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78D" w:rsidRDefault="00AC178D" w:rsidP="00652E3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78D" w:rsidRDefault="00AC178D" w:rsidP="00AC178D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C178D" w:rsidRDefault="00BA4CE8" w:rsidP="00AC178D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УЙСКО-ЧЕБАРКУЛЬСКОГО </w:t>
      </w:r>
      <w:r w:rsidR="00AC17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178D" w:rsidRDefault="00AC178D" w:rsidP="00AC178D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AC178D" w:rsidRDefault="00AC178D" w:rsidP="00AC178D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AC178D" w:rsidRPr="00D6336C" w:rsidRDefault="00AC178D" w:rsidP="00D6336C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AC178D" w:rsidRPr="00652E32" w:rsidRDefault="00AC178D" w:rsidP="00D6336C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2E32">
        <w:rPr>
          <w:rFonts w:ascii="Times New Roman" w:hAnsi="Times New Roman" w:cs="Times New Roman"/>
          <w:sz w:val="28"/>
          <w:szCs w:val="28"/>
        </w:rPr>
        <w:t xml:space="preserve">от  </w:t>
      </w:r>
      <w:r w:rsidR="00652E32" w:rsidRPr="00652E32">
        <w:rPr>
          <w:rFonts w:ascii="Times New Roman" w:hAnsi="Times New Roman" w:cs="Times New Roman"/>
          <w:sz w:val="28"/>
          <w:szCs w:val="28"/>
        </w:rPr>
        <w:t>30</w:t>
      </w:r>
      <w:r w:rsidR="00652E32">
        <w:rPr>
          <w:rFonts w:ascii="Times New Roman" w:hAnsi="Times New Roman" w:cs="Times New Roman"/>
          <w:sz w:val="28"/>
          <w:szCs w:val="28"/>
        </w:rPr>
        <w:t>.</w:t>
      </w:r>
      <w:r w:rsidR="00652E32" w:rsidRPr="00652E32">
        <w:rPr>
          <w:rFonts w:ascii="Times New Roman" w:hAnsi="Times New Roman" w:cs="Times New Roman"/>
          <w:sz w:val="28"/>
          <w:szCs w:val="28"/>
        </w:rPr>
        <w:t>07.</w:t>
      </w:r>
      <w:r w:rsidR="00652E32">
        <w:rPr>
          <w:rFonts w:ascii="Times New Roman" w:hAnsi="Times New Roman" w:cs="Times New Roman"/>
          <w:sz w:val="28"/>
          <w:szCs w:val="28"/>
        </w:rPr>
        <w:t xml:space="preserve"> </w:t>
      </w:r>
      <w:r w:rsidRPr="00652E32">
        <w:rPr>
          <w:rFonts w:ascii="Times New Roman" w:hAnsi="Times New Roman" w:cs="Times New Roman"/>
          <w:sz w:val="28"/>
          <w:szCs w:val="28"/>
        </w:rPr>
        <w:t xml:space="preserve">2018 года  </w:t>
      </w:r>
      <w:r w:rsidR="00652E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2E32">
        <w:rPr>
          <w:rFonts w:ascii="Times New Roman" w:hAnsi="Times New Roman" w:cs="Times New Roman"/>
          <w:sz w:val="28"/>
          <w:szCs w:val="28"/>
        </w:rPr>
        <w:t xml:space="preserve">№   </w:t>
      </w:r>
      <w:r w:rsidR="00652E32">
        <w:rPr>
          <w:rFonts w:ascii="Times New Roman" w:hAnsi="Times New Roman" w:cs="Times New Roman"/>
          <w:sz w:val="28"/>
          <w:szCs w:val="28"/>
        </w:rPr>
        <w:t>50</w:t>
      </w:r>
    </w:p>
    <w:p w:rsidR="00AC178D" w:rsidRDefault="00AC178D" w:rsidP="00AC178D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AC178D" w:rsidRDefault="00AC178D" w:rsidP="00AC178D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Главы </w:t>
      </w:r>
    </w:p>
    <w:p w:rsidR="00AC178D" w:rsidRDefault="00BA4CE8" w:rsidP="00AC178D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Уйско-Чебаркульского </w:t>
      </w:r>
      <w:r w:rsidR="00AC17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178D" w:rsidRDefault="00AC178D" w:rsidP="00AC178D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AC178D" w:rsidRDefault="00AC178D" w:rsidP="00AC178D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от </w:t>
      </w:r>
      <w:r w:rsidR="00BA4CE8">
        <w:rPr>
          <w:rFonts w:ascii="Times New Roman" w:hAnsi="Times New Roman" w:cs="Times New Roman"/>
          <w:sz w:val="28"/>
          <w:szCs w:val="28"/>
        </w:rPr>
        <w:t>30.05.2017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A4CE8">
        <w:rPr>
          <w:rFonts w:ascii="Times New Roman" w:hAnsi="Times New Roman" w:cs="Times New Roman"/>
          <w:sz w:val="28"/>
          <w:szCs w:val="28"/>
        </w:rPr>
        <w:t>51</w:t>
      </w:r>
    </w:p>
    <w:p w:rsidR="00AC178D" w:rsidRDefault="00AC178D" w:rsidP="00AC178D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C178D" w:rsidRDefault="00AC178D" w:rsidP="00AC178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AC178D" w:rsidRDefault="00AC178D" w:rsidP="00AC178D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оплаты труда работников культуры </w:t>
      </w:r>
      <w:r w:rsidR="00BA4CE8">
        <w:rPr>
          <w:rFonts w:ascii="Times New Roman" w:hAnsi="Times New Roman" w:cs="Times New Roman"/>
          <w:sz w:val="28"/>
          <w:szCs w:val="28"/>
        </w:rPr>
        <w:t xml:space="preserve">Уйско-Чебаркульского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Челябинской области </w:t>
      </w:r>
    </w:p>
    <w:p w:rsidR="00AC178D" w:rsidRDefault="00AC178D" w:rsidP="00AC178D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BA4C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78D" w:rsidRDefault="00AC178D" w:rsidP="00AC178D">
      <w:pPr>
        <w:pStyle w:val="a3"/>
        <w:numPr>
          <w:ilvl w:val="0"/>
          <w:numId w:val="1"/>
        </w:numPr>
        <w:tabs>
          <w:tab w:val="left" w:pos="-284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Главы </w:t>
      </w:r>
      <w:r w:rsidR="00BA4CE8">
        <w:rPr>
          <w:rFonts w:ascii="Times New Roman" w:hAnsi="Times New Roman" w:cs="Times New Roman"/>
          <w:sz w:val="28"/>
          <w:szCs w:val="28"/>
        </w:rPr>
        <w:t>Уйско-Чебаркульского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от </w:t>
      </w:r>
      <w:r w:rsidR="00BA4CE8">
        <w:rPr>
          <w:rFonts w:ascii="Times New Roman" w:hAnsi="Times New Roman" w:cs="Times New Roman"/>
          <w:sz w:val="28"/>
          <w:szCs w:val="28"/>
        </w:rPr>
        <w:t xml:space="preserve">30.05.2017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A4CE8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муниципальных учреждений культуры </w:t>
      </w:r>
      <w:r w:rsidR="00BA4CE8">
        <w:rPr>
          <w:rFonts w:ascii="Times New Roman" w:hAnsi="Times New Roman" w:cs="Times New Roman"/>
          <w:sz w:val="28"/>
          <w:szCs w:val="28"/>
        </w:rPr>
        <w:t>Уйско-Чебаркульского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Челябинской области»:</w:t>
      </w:r>
    </w:p>
    <w:p w:rsidR="00AC178D" w:rsidRDefault="00AC178D" w:rsidP="00AC178D">
      <w:pPr>
        <w:pStyle w:val="a3"/>
        <w:tabs>
          <w:tab w:val="left" w:pos="-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4.3. изложить в следующей редакции:</w:t>
      </w:r>
    </w:p>
    <w:p w:rsidR="00AC178D" w:rsidRDefault="00AC178D" w:rsidP="00AC178D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«Рекомендуемый перечень, размеры и порядок установления выплат стимулирующего характера указаны в приложении 3 к настоящему Положению. </w:t>
      </w:r>
    </w:p>
    <w:p w:rsidR="00AC178D" w:rsidRDefault="00AC178D" w:rsidP="00AC178D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Выплаты стимулирующего характера за качество выполняемых работ устанавливаются </w:t>
      </w:r>
      <w:r w:rsidR="00BF7F31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процентном отношении от оклада (должностного оклада) работников или в абсолютном размере.</w:t>
      </w:r>
    </w:p>
    <w:p w:rsidR="00AC178D" w:rsidRDefault="00AC178D" w:rsidP="00AC178D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Повышение оплаты труда в первоочередном порядке производится работникам, относящимся к основному персоналу.</w:t>
      </w:r>
    </w:p>
    <w:p w:rsidR="00AC178D" w:rsidRDefault="00AC178D" w:rsidP="00AC178D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Повышение оплаты труда прочему персоналу осуществляется в соответствии с трудовым законодательством и иными нормативными правовыми актами, содержащими нормы трудового права и определяющими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D6336C" w:rsidRDefault="00D6336C" w:rsidP="00AC178D">
      <w:pPr>
        <w:pStyle w:val="a3"/>
        <w:tabs>
          <w:tab w:val="left" w:pos="-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178D" w:rsidRDefault="00AC178D" w:rsidP="00AC178D">
      <w:pPr>
        <w:pStyle w:val="a3"/>
        <w:tabs>
          <w:tab w:val="left" w:pos="-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4.8.  изложить в следующей  редакции:</w:t>
      </w:r>
    </w:p>
    <w:p w:rsidR="00AC178D" w:rsidRPr="00AC178D" w:rsidRDefault="00AC178D" w:rsidP="00AC178D">
      <w:pPr>
        <w:pStyle w:val="20"/>
        <w:shd w:val="clear" w:color="auto" w:fill="auto"/>
        <w:tabs>
          <w:tab w:val="left" w:pos="0"/>
          <w:tab w:val="left" w:pos="284"/>
        </w:tabs>
        <w:ind w:right="-1" w:firstLine="0"/>
        <w:jc w:val="both"/>
        <w:rPr>
          <w:rFonts w:cstheme="minorBidi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lang w:bidi="ru-RU"/>
        </w:rPr>
        <w:t xml:space="preserve"> При формировании перечня выплат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стимулирующего характера для работников учреждения определяются качественные и количественные </w:t>
      </w:r>
      <w:r>
        <w:rPr>
          <w:color w:val="000000"/>
          <w:sz w:val="28"/>
          <w:szCs w:val="28"/>
          <w:lang w:bidi="ru-RU"/>
        </w:rPr>
        <w:lastRenderedPageBreak/>
        <w:t>показатели для каждой стимулирующей выплаты, при достижении которых данная выплата производится. Размер выплат стимулирующего характера за интенсивность и высокие результаты работы для каждого работника учреждения определяется по итогам оценки количественных и качественных показателей, характеризующих результаты труда и индивидуальные характеристики работников учреждения (Приложение № 4).</w:t>
      </w:r>
      <w:r>
        <w:rPr>
          <w:sz w:val="28"/>
          <w:szCs w:val="28"/>
        </w:rPr>
        <w:t>»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844D3">
        <w:rPr>
          <w:rFonts w:ascii="Times New Roman" w:hAnsi="Times New Roman" w:cs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4.10.  изложить в следующей  редакции: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«Выплаты стимулирующего характера за интенсивность и высокие результаты работы производятся на основании распоряжения главы сельского поселения в пределах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труда работников относящихся к основному и административно-управленческому персоналу и остальных работников, занятых в структурных подразделениях учреждения по представлению руководителей структурных подразделений.»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</w:t>
      </w:r>
      <w:r w:rsidRPr="001D3F20">
        <w:rPr>
          <w:rFonts w:ascii="Times New Roman" w:hAnsi="Times New Roman" w:cs="Times New Roman"/>
          <w:sz w:val="28"/>
          <w:szCs w:val="28"/>
        </w:rPr>
        <w:t>. Пу</w:t>
      </w:r>
      <w:r>
        <w:rPr>
          <w:rFonts w:ascii="Times New Roman" w:hAnsi="Times New Roman" w:cs="Times New Roman"/>
          <w:sz w:val="28"/>
          <w:szCs w:val="28"/>
        </w:rPr>
        <w:t xml:space="preserve">нкт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4.12</w:t>
      </w:r>
      <w:r w:rsidRPr="001D3F20">
        <w:rPr>
          <w:rFonts w:ascii="Times New Roman" w:hAnsi="Times New Roman" w:cs="Times New Roman"/>
          <w:sz w:val="28"/>
          <w:szCs w:val="28"/>
        </w:rPr>
        <w:t>.  изложить в следующей  редакции:</w:t>
      </w:r>
    </w:p>
    <w:p w:rsidR="00AC178D" w:rsidRPr="001D3F20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«Критерии и показатели эффективности для установления стимулирующей выплаты за интенсивность и высокие результаты работы определяются с помощью карт результативности. (Приложение 4).»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1.5. Пункт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4.15. </w:t>
      </w:r>
      <w:r w:rsidRPr="001D3F20"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«Критерии и показатели эффективности выполненной работы (карты результативности) заполняются работниками самостоятельно в графе «самооценка» два раза в год от 20 до 25 числа (июнь, декабрь) и предоставляются на рассмотрение Комиссии.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Экспертная комиссия на основании баллов самооценки, итогов выполненных мероприятий, выводит средний балл (к баллам самооценки добавляется оценка экспертной комиссии и полученные баллы делятся пополам), на основании чего составляется протокол заседания экспертной комиссии. Сумма стимулирующих выплат за интенсивность и высокие показатели работы на конкретного работника высчитывается по формулам: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= с, где 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сумма стимулирующих выплат за интенсивность и высокие показатели работы всех работников учреждения (руб.);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количество баллов всех работников учреждения;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среднего балла (руб.).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е, где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среднего балла;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баллов конкретного работника;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сумма стимулирующих выплат за интенсивность и высокие показатели работы на конкретного работника.</w:t>
      </w:r>
    </w:p>
    <w:p w:rsidR="00AC178D" w:rsidRPr="00EF1A7C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Заполненная карта результативности, протокол заседания экспертной комиссии и приказ о начислении стимулирующих выплат за интенсивность и высокие показатели работы предоставляются в бухгалтерию для начисления стимулирующих выплат. Выплаты стимулирующего характера выплачиваются работнику за фактически отработанное в месяце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1.6. Пункт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4.16. </w:t>
      </w:r>
      <w:r w:rsidRPr="001D3F20"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«Работникам, работающим на неполную ставку при расчете стимулирующих выплат за интенсивность и высокие результаты работы, устанавливается коэффициент в зависимости от нагрузки,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 (при ставке 0,5 штатных единиц применяется коэффициент к начисленным баллам равный 0,5).»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1.7.  Пункт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4.20. </w:t>
      </w:r>
      <w:r w:rsidRPr="001D3F20"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«Работникам, вновь принятым на работу, стимулирующая часть выплат за интенсивность и высокие показатели работы определяются решением руководителя учреждения и начисляются на основании приказа руководителя</w:t>
      </w:r>
      <w:r w:rsidR="00BF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1.8. </w:t>
      </w:r>
      <w:r w:rsidRPr="001D3F20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нкт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5.2</w:t>
      </w:r>
      <w:r w:rsidRPr="001D3F20">
        <w:rPr>
          <w:rFonts w:ascii="Times New Roman" w:hAnsi="Times New Roman" w:cs="Times New Roman"/>
          <w:sz w:val="28"/>
          <w:szCs w:val="28"/>
        </w:rPr>
        <w:t>.  изложить в следующей  редакции:</w:t>
      </w:r>
    </w:p>
    <w:p w:rsidR="00AC178D" w:rsidRDefault="00AC178D" w:rsidP="00AC178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«Руководителям учреждений устанавливаются выплаты компенсационного и стимулирующего характера. Размеры выплат стимулирующего и компенсационного характера определяются с учетом результата деятельности учреждения согласно приложениям 2, 3 и 4 к настоящему Положению.</w:t>
      </w:r>
    </w:p>
    <w:p w:rsidR="00AC178D" w:rsidRPr="006844D3" w:rsidRDefault="00AC178D" w:rsidP="00AC178D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Выплаты стимулирующего характера за качество выполняемых работ устанавливаются </w:t>
      </w:r>
      <w:r w:rsidR="00BF7F31">
        <w:rPr>
          <w:rFonts w:ascii="Times New Roman" w:hAnsi="Times New Roman" w:cs="Times New Roman"/>
          <w:sz w:val="28"/>
          <w:szCs w:val="28"/>
        </w:rPr>
        <w:t>Распоряжением главы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процентном отношении от оклада (должностного оклада) или в абсолютном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178D" w:rsidRDefault="00AC178D" w:rsidP="00AC178D">
      <w:pPr>
        <w:pStyle w:val="a3"/>
        <w:numPr>
          <w:ilvl w:val="0"/>
          <w:numId w:val="1"/>
        </w:numPr>
        <w:tabs>
          <w:tab w:val="left" w:pos="-284"/>
        </w:tabs>
        <w:spacing w:after="12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возложить на начальника Управления культуры Толкачева В.В. </w:t>
      </w:r>
    </w:p>
    <w:p w:rsidR="00AC178D" w:rsidRDefault="00AC178D" w:rsidP="00AC178D">
      <w:pPr>
        <w:pStyle w:val="a3"/>
        <w:numPr>
          <w:ilvl w:val="0"/>
          <w:numId w:val="1"/>
        </w:numPr>
        <w:tabs>
          <w:tab w:val="left" w:pos="-284"/>
          <w:tab w:val="left" w:pos="567"/>
        </w:tabs>
        <w:spacing w:after="12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с момента подписания и распространяет свое действие на отношения, возникшие с 01 </w:t>
      </w:r>
      <w:r w:rsidR="00C91916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2018 года.</w:t>
      </w:r>
    </w:p>
    <w:p w:rsidR="00AC178D" w:rsidRDefault="00AC178D" w:rsidP="00AC178D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977D3" w:rsidRDefault="00AC178D" w:rsidP="00BA4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BA4C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977D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C178D" w:rsidRDefault="009977D3" w:rsidP="00BA4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A4CE8">
        <w:rPr>
          <w:rFonts w:ascii="Times New Roman" w:hAnsi="Times New Roman" w:cs="Times New Roman"/>
          <w:sz w:val="28"/>
          <w:szCs w:val="28"/>
        </w:rPr>
        <w:t xml:space="preserve"> С.А.</w:t>
      </w:r>
      <w:r w:rsidR="00652E32">
        <w:rPr>
          <w:rFonts w:ascii="Times New Roman" w:hAnsi="Times New Roman" w:cs="Times New Roman"/>
          <w:sz w:val="28"/>
          <w:szCs w:val="28"/>
        </w:rPr>
        <w:t xml:space="preserve"> </w:t>
      </w:r>
      <w:r w:rsidR="00BA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CE8"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480C60" w:rsidRDefault="00480C60"/>
    <w:sectPr w:rsidR="00480C60" w:rsidSect="00BF7F31">
      <w:pgSz w:w="11906" w:h="16838"/>
      <w:pgMar w:top="510" w:right="794" w:bottom="510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78D"/>
    <w:rsid w:val="0011102D"/>
    <w:rsid w:val="00480C60"/>
    <w:rsid w:val="0049617D"/>
    <w:rsid w:val="00652E32"/>
    <w:rsid w:val="007B5399"/>
    <w:rsid w:val="009977D3"/>
    <w:rsid w:val="00AC178D"/>
    <w:rsid w:val="00B22B3A"/>
    <w:rsid w:val="00B575B8"/>
    <w:rsid w:val="00BA4CE8"/>
    <w:rsid w:val="00BF7F31"/>
    <w:rsid w:val="00C91916"/>
    <w:rsid w:val="00CB5E08"/>
    <w:rsid w:val="00D6336C"/>
    <w:rsid w:val="00E9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8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C17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78D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2018-07-30T10:12:00Z</cp:lastPrinted>
  <dcterms:created xsi:type="dcterms:W3CDTF">2018-07-18T05:09:00Z</dcterms:created>
  <dcterms:modified xsi:type="dcterms:W3CDTF">2018-08-02T05:01:00Z</dcterms:modified>
</cp:coreProperties>
</file>